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B64" w:rsidRDefault="00CC1B64">
      <w:pPr>
        <w:spacing w:line="760" w:lineRule="exact"/>
        <w:jc w:val="righ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C1B64" w:rsidRDefault="00CC1B64">
      <w:pPr>
        <w:spacing w:line="760" w:lineRule="exact"/>
        <w:jc w:val="righ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C1B64" w:rsidRDefault="00CC1B64">
      <w:pPr>
        <w:spacing w:line="760" w:lineRule="exact"/>
        <w:jc w:val="righ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C1B64" w:rsidRDefault="00345E3B" w:rsidP="00AB63E9">
      <w:pPr>
        <w:spacing w:beforeLines="50"/>
        <w:jc w:val="right"/>
        <w:rPr>
          <w:rFonts w:ascii="仿宋_GB2312" w:eastAsia="仿宋_GB2312" w:hAnsi="华文中宋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供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发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业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〔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20</w:t>
      </w:r>
      <w:r w:rsidR="00AD4187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〕</w:t>
      </w:r>
      <w:proofErr w:type="gramEnd"/>
      <w:r w:rsidR="00AB63E9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50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号</w:t>
      </w:r>
    </w:p>
    <w:p w:rsidR="00AD4187" w:rsidRDefault="00AD4187" w:rsidP="00AB63E9">
      <w:pPr>
        <w:spacing w:beforeLines="100" w:line="580" w:lineRule="exact"/>
        <w:jc w:val="center"/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</w:pPr>
      <w:r w:rsidRPr="00AD4187"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  <w:t>安徽省供销合作社联合</w:t>
      </w:r>
      <w:proofErr w:type="gramStart"/>
      <w:r w:rsidRPr="00AD4187"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  <w:t>社关于</w:t>
      </w:r>
      <w:proofErr w:type="gramEnd"/>
      <w:r w:rsidRPr="00AD4187"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  <w:t>组织开展</w:t>
      </w:r>
    </w:p>
    <w:p w:rsidR="00AD4187" w:rsidRPr="00AD4187" w:rsidRDefault="00AB63E9" w:rsidP="00AB63E9">
      <w:pPr>
        <w:tabs>
          <w:tab w:val="left" w:pos="1360"/>
          <w:tab w:val="center" w:pos="4365"/>
        </w:tabs>
        <w:spacing w:line="580" w:lineRule="exact"/>
        <w:jc w:val="left"/>
        <w:rPr>
          <w:rFonts w:ascii="华文中宋" w:eastAsia="华文中宋" w:hAnsi="华文中宋" w:cs="华文中宋"/>
          <w:color w:val="000000" w:themeColor="text1"/>
          <w:sz w:val="40"/>
          <w:szCs w:val="40"/>
        </w:rPr>
      </w:pPr>
      <w:r>
        <w:rPr>
          <w:rFonts w:ascii="华文中宋" w:eastAsia="华文中宋" w:hAnsi="华文中宋" w:cs="华文中宋"/>
          <w:color w:val="000000" w:themeColor="text1"/>
          <w:sz w:val="40"/>
          <w:szCs w:val="40"/>
        </w:rPr>
        <w:tab/>
      </w:r>
      <w:r w:rsidR="00AD4187" w:rsidRPr="00AD4187"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  <w:t>“十四五”规划编制工作的通知</w:t>
      </w:r>
    </w:p>
    <w:p w:rsidR="00AD4187" w:rsidRDefault="00AD4187" w:rsidP="00AB63E9">
      <w:pPr>
        <w:spacing w:beforeLines="50" w:line="56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各市、省直管县</w:t>
      </w:r>
      <w:r w:rsidR="00CA1E0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（市）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供销社，省供销集团：</w:t>
      </w:r>
    </w:p>
    <w:p w:rsidR="00AD4187" w:rsidRDefault="00AD4187" w:rsidP="00351892">
      <w:pPr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“十四五”时期(2021-</w:t>
      </w:r>
      <w:r>
        <w:rPr>
          <w:rFonts w:eastAsia="仿宋"/>
          <w:color w:val="000000" w:themeColor="text1"/>
          <w:sz w:val="32"/>
          <w:szCs w:val="32"/>
        </w:rPr>
        <w:t> </w:t>
      </w:r>
      <w:r>
        <w:rPr>
          <w:rFonts w:ascii="仿宋" w:eastAsia="仿宋" w:hAnsi="仿宋"/>
          <w:color w:val="000000" w:themeColor="text1"/>
          <w:sz w:val="32"/>
          <w:szCs w:val="32"/>
        </w:rPr>
        <w:t>2025年)，是开启全面建设社会主义现代化新征程的第一个五年规划期,也是供销合作社持续深化综合改革、服务乡村振兴、推进高质量发展的重要时期。编制“十四五”规划历史节点特殊，任务艰巨，意义重大。为高质量做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我省</w:t>
      </w:r>
      <w:r>
        <w:rPr>
          <w:rFonts w:ascii="仿宋" w:eastAsia="仿宋" w:hAnsi="仿宋"/>
          <w:color w:val="000000" w:themeColor="text1"/>
          <w:sz w:val="32"/>
          <w:szCs w:val="32"/>
        </w:rPr>
        <w:t>系统“十四五”规划编制工作，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根据《中华全国供销合作总社办公厅关于做好供销合作社“十四五”发展规划编制工作有关事项的通知》（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供销厅经字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〔2020〕22号）文件要求，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现将有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关事项通知如下：</w:t>
      </w:r>
    </w:p>
    <w:p w:rsidR="00AD4187" w:rsidRDefault="00AD4187" w:rsidP="00351892">
      <w:pPr>
        <w:pStyle w:val="a4"/>
        <w:widowControl/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总体要求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以习近平新时代中国特色社会主义思想为指导，深入贯彻落实党的十九大和十九届二中、三中、四中全会精神，全面贯彻落</w:t>
      </w:r>
      <w:proofErr w:type="gramStart"/>
      <w:r>
        <w:rPr>
          <w:rFonts w:ascii="仿宋" w:eastAsia="仿宋" w:hAnsi="仿宋"/>
          <w:sz w:val="32"/>
          <w:szCs w:val="32"/>
        </w:rPr>
        <w:t>实习近</w:t>
      </w:r>
      <w:proofErr w:type="gramEnd"/>
      <w:r>
        <w:rPr>
          <w:rFonts w:ascii="仿宋" w:eastAsia="仿宋" w:hAnsi="仿宋"/>
          <w:sz w:val="32"/>
          <w:szCs w:val="32"/>
        </w:rPr>
        <w:t>平总书记关于“三农”工作重要论述和对供销合作社工作重要指示批示精神，按照省委省政府和全国总社部署要求，牢牢把握稳中求进工作总基调，坚持农业农村优先发展总</w:t>
      </w:r>
      <w:r>
        <w:rPr>
          <w:rFonts w:ascii="仿宋" w:eastAsia="仿宋" w:hAnsi="仿宋"/>
          <w:sz w:val="32"/>
          <w:szCs w:val="32"/>
        </w:rPr>
        <w:lastRenderedPageBreak/>
        <w:t>方针，突出高质量发展总</w:t>
      </w:r>
      <w:r>
        <w:rPr>
          <w:rFonts w:ascii="仿宋" w:eastAsia="仿宋" w:hAnsi="仿宋" w:hint="eastAsia"/>
          <w:sz w:val="32"/>
          <w:szCs w:val="32"/>
        </w:rPr>
        <w:t>目标</w:t>
      </w:r>
      <w:r>
        <w:rPr>
          <w:rFonts w:ascii="仿宋" w:eastAsia="仿宋" w:hAnsi="仿宋"/>
          <w:sz w:val="32"/>
          <w:szCs w:val="32"/>
        </w:rPr>
        <w:t>，自觉</w:t>
      </w:r>
      <w:proofErr w:type="gramStart"/>
      <w:r>
        <w:rPr>
          <w:rFonts w:ascii="仿宋" w:eastAsia="仿宋" w:hAnsi="仿宋"/>
          <w:sz w:val="32"/>
          <w:szCs w:val="32"/>
        </w:rPr>
        <w:t>践行</w:t>
      </w:r>
      <w:proofErr w:type="gramEnd"/>
      <w:r>
        <w:rPr>
          <w:rFonts w:ascii="仿宋" w:eastAsia="仿宋" w:hAnsi="仿宋"/>
          <w:sz w:val="32"/>
          <w:szCs w:val="32"/>
        </w:rPr>
        <w:t>新发展理念，准确把握“三农”工作新要求，持续深化综合改革，全力服务乡村振兴，加快推进治理体系和治理能力现代化建设，全面提升为农服务能力，努力提高经济发展综合实力，</w:t>
      </w:r>
      <w:r>
        <w:rPr>
          <w:rFonts w:ascii="仿宋" w:eastAsia="仿宋" w:hAnsi="仿宋" w:hint="eastAsia"/>
          <w:sz w:val="32"/>
          <w:szCs w:val="32"/>
        </w:rPr>
        <w:t>奋力谱写供销合作事业改革发展新篇章，为决战决胜全面建成小康社会、实现第一个百年奋斗目标、开创现代化五大发展美好安徽建设新局面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积极贡献。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二、主要内容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《规划》</w:t>
      </w:r>
      <w:r>
        <w:rPr>
          <w:rFonts w:ascii="仿宋" w:eastAsia="仿宋" w:hAnsi="仿宋" w:cs="仿宋_GB2312" w:hint="eastAsia"/>
          <w:sz w:val="32"/>
          <w:szCs w:val="32"/>
        </w:rPr>
        <w:t>编制工作由省社、市社、省直管县社同步开展，按照上下联动的方式进行，</w:t>
      </w:r>
      <w:r>
        <w:rPr>
          <w:rFonts w:ascii="仿宋" w:eastAsia="仿宋" w:hAnsi="仿宋" w:cs="仿宋_GB2312"/>
          <w:sz w:val="32"/>
          <w:szCs w:val="32"/>
        </w:rPr>
        <w:t>各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结合实际</w:t>
      </w:r>
      <w:r>
        <w:rPr>
          <w:rFonts w:ascii="仿宋" w:eastAsia="仿宋" w:hAnsi="仿宋" w:cs="仿宋_GB2312" w:hint="eastAsia"/>
          <w:sz w:val="32"/>
          <w:szCs w:val="32"/>
        </w:rPr>
        <w:t>开展本系统编制工作。</w:t>
      </w:r>
      <w:r>
        <w:rPr>
          <w:rFonts w:ascii="仿宋" w:eastAsia="仿宋" w:hAnsi="仿宋"/>
          <w:sz w:val="32"/>
          <w:szCs w:val="32"/>
        </w:rPr>
        <w:t>主要内容包括:“十三五”期间改革发展取得的成效、经验做法及存在的突出问题，“十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>四五”期间供销合作事业发展的指导思想、</w:t>
      </w:r>
      <w:r>
        <w:rPr>
          <w:rFonts w:ascii="仿宋" w:eastAsia="仿宋" w:hAnsi="仿宋" w:hint="eastAsia"/>
          <w:sz w:val="32"/>
          <w:szCs w:val="32"/>
        </w:rPr>
        <w:t>基本原则、发展</w:t>
      </w:r>
      <w:r>
        <w:rPr>
          <w:rFonts w:ascii="仿宋" w:eastAsia="仿宋" w:hAnsi="仿宋"/>
          <w:sz w:val="32"/>
          <w:szCs w:val="32"/>
        </w:rPr>
        <w:t>目标、重点任务、</w:t>
      </w:r>
      <w:r>
        <w:rPr>
          <w:rFonts w:ascii="仿宋" w:eastAsia="仿宋" w:hAnsi="仿宋" w:hint="eastAsia"/>
          <w:sz w:val="32"/>
          <w:szCs w:val="32"/>
        </w:rPr>
        <w:t>重要</w:t>
      </w:r>
      <w:r>
        <w:rPr>
          <w:rFonts w:ascii="仿宋" w:eastAsia="仿宋" w:hAnsi="仿宋"/>
          <w:sz w:val="32"/>
          <w:szCs w:val="32"/>
        </w:rPr>
        <w:t>举措和保障措施等。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三、总体安排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(</w:t>
      </w:r>
      <w:proofErr w:type="gramStart"/>
      <w:r>
        <w:rPr>
          <w:rFonts w:ascii="楷体" w:eastAsia="楷体" w:hAnsi="楷体"/>
          <w:b/>
          <w:sz w:val="32"/>
          <w:szCs w:val="32"/>
        </w:rPr>
        <w:t>一</w:t>
      </w:r>
      <w:proofErr w:type="gramEnd"/>
      <w:r>
        <w:rPr>
          <w:rFonts w:ascii="楷体" w:eastAsia="楷体" w:hAnsi="楷体"/>
          <w:b/>
          <w:sz w:val="32"/>
          <w:szCs w:val="32"/>
        </w:rPr>
        <w:t>)前期研究阶段</w:t>
      </w:r>
      <w:r>
        <w:rPr>
          <w:rFonts w:ascii="楷体" w:eastAsia="楷体" w:hAnsi="楷体" w:hint="eastAsia"/>
          <w:b/>
          <w:sz w:val="32"/>
          <w:szCs w:val="32"/>
        </w:rPr>
        <w:t>（2020年6月</w:t>
      </w:r>
      <w:r w:rsidR="00CA1E05">
        <w:rPr>
          <w:rFonts w:ascii="楷体" w:eastAsia="楷体" w:hAnsi="楷体" w:hint="eastAsia"/>
          <w:b/>
          <w:sz w:val="32"/>
          <w:szCs w:val="32"/>
        </w:rPr>
        <w:t>初</w:t>
      </w:r>
      <w:r>
        <w:rPr>
          <w:rFonts w:ascii="楷体" w:eastAsia="楷体" w:hAnsi="楷体" w:hint="eastAsia"/>
          <w:b/>
          <w:sz w:val="32"/>
          <w:szCs w:val="32"/>
        </w:rPr>
        <w:t>-6月中旬）</w:t>
      </w:r>
      <w:r>
        <w:rPr>
          <w:rFonts w:ascii="楷体" w:eastAsia="楷体" w:hAnsi="楷体"/>
          <w:b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围绕系统改革发展中的重点、难点等突出问题开展前期研究。通过开展调研、召开座谈会等形式，广泛听取各方意见和建议，形成规划</w:t>
      </w:r>
      <w:r>
        <w:rPr>
          <w:rFonts w:ascii="仿宋" w:eastAsia="仿宋" w:hAnsi="仿宋" w:hint="eastAsia"/>
          <w:sz w:val="32"/>
          <w:szCs w:val="32"/>
        </w:rPr>
        <w:t>编制</w:t>
      </w:r>
      <w:r>
        <w:rPr>
          <w:rFonts w:ascii="仿宋" w:eastAsia="仿宋" w:hAnsi="仿宋"/>
          <w:sz w:val="32"/>
          <w:szCs w:val="32"/>
        </w:rPr>
        <w:t>提纲。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(二)规划编制阶段</w:t>
      </w:r>
      <w:r>
        <w:rPr>
          <w:rFonts w:ascii="楷体" w:eastAsia="楷体" w:hAnsi="楷体" w:hint="eastAsia"/>
          <w:b/>
          <w:sz w:val="32"/>
          <w:szCs w:val="32"/>
        </w:rPr>
        <w:t>（2020年6月中旬-9月底）</w:t>
      </w:r>
      <w:r>
        <w:rPr>
          <w:rFonts w:ascii="楷体" w:eastAsia="楷体" w:hAnsi="楷体"/>
          <w:b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在前期研究的基础上，起草形成“十四五”规划草案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(三)</w:t>
      </w:r>
      <w:r>
        <w:rPr>
          <w:rFonts w:ascii="楷体" w:eastAsia="楷体" w:hAnsi="楷体" w:hint="eastAsia"/>
          <w:b/>
          <w:sz w:val="32"/>
          <w:szCs w:val="32"/>
        </w:rPr>
        <w:t>完善定稿</w:t>
      </w:r>
      <w:r>
        <w:rPr>
          <w:rFonts w:ascii="楷体" w:eastAsia="楷体" w:hAnsi="楷体"/>
          <w:b/>
          <w:sz w:val="32"/>
          <w:szCs w:val="32"/>
        </w:rPr>
        <w:t>阶段</w:t>
      </w:r>
      <w:r>
        <w:rPr>
          <w:rFonts w:ascii="楷体" w:eastAsia="楷体" w:hAnsi="楷体" w:hint="eastAsia"/>
          <w:b/>
          <w:sz w:val="32"/>
          <w:szCs w:val="32"/>
        </w:rPr>
        <w:t>（2020年9月-12月）</w:t>
      </w:r>
      <w:r>
        <w:rPr>
          <w:rFonts w:ascii="楷体" w:eastAsia="楷体" w:hAnsi="楷体"/>
          <w:b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征求</w:t>
      </w:r>
      <w:r>
        <w:rPr>
          <w:rFonts w:ascii="仿宋" w:eastAsia="仿宋" w:hAnsi="仿宋" w:hint="eastAsia"/>
          <w:sz w:val="32"/>
          <w:szCs w:val="32"/>
        </w:rPr>
        <w:t>各方</w:t>
      </w:r>
      <w:r>
        <w:rPr>
          <w:rFonts w:ascii="仿宋" w:eastAsia="仿宋" w:hAnsi="仿宋"/>
          <w:sz w:val="32"/>
          <w:szCs w:val="32"/>
        </w:rPr>
        <w:t>意见建议，进一步完善规划草案</w:t>
      </w:r>
      <w:r>
        <w:rPr>
          <w:rFonts w:ascii="仿宋" w:eastAsia="仿宋" w:hAnsi="仿宋" w:hint="eastAsia"/>
          <w:sz w:val="32"/>
          <w:szCs w:val="32"/>
        </w:rPr>
        <w:t>后定稿。</w:t>
      </w:r>
    </w:p>
    <w:p w:rsidR="00AD4187" w:rsidRDefault="00AD4187" w:rsidP="00351892">
      <w:pPr>
        <w:pStyle w:val="a4"/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 </w:t>
      </w:r>
      <w:r>
        <w:rPr>
          <w:rFonts w:ascii="黑体" w:eastAsia="黑体" w:hAnsi="黑体" w:cs="黑体"/>
          <w:sz w:val="32"/>
          <w:szCs w:val="32"/>
        </w:rPr>
        <w:t>四、相关要求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(</w:t>
      </w:r>
      <w:proofErr w:type="gramStart"/>
      <w:r>
        <w:rPr>
          <w:rFonts w:ascii="楷体" w:eastAsia="楷体" w:hAnsi="楷体"/>
          <w:b/>
          <w:sz w:val="32"/>
          <w:szCs w:val="32"/>
        </w:rPr>
        <w:t>一</w:t>
      </w:r>
      <w:proofErr w:type="gramEnd"/>
      <w:r>
        <w:rPr>
          <w:rFonts w:ascii="楷体" w:eastAsia="楷体" w:hAnsi="楷体"/>
          <w:b/>
          <w:sz w:val="32"/>
          <w:szCs w:val="32"/>
        </w:rPr>
        <w:t>)加强组织领导。</w:t>
      </w:r>
      <w:r>
        <w:rPr>
          <w:rFonts w:ascii="仿宋" w:eastAsia="仿宋" w:hAnsi="仿宋"/>
          <w:sz w:val="32"/>
          <w:szCs w:val="32"/>
        </w:rPr>
        <w:t>为保证各项工作顺利开展，省社成立由主要领导任组长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相关职能处室</w:t>
      </w:r>
      <w:r>
        <w:rPr>
          <w:rFonts w:ascii="仿宋" w:eastAsia="仿宋" w:hAnsi="仿宋" w:hint="eastAsia"/>
          <w:sz w:val="32"/>
          <w:szCs w:val="32"/>
        </w:rPr>
        <w:t>、省供销集团、安徽财贸职业学院共同参与的</w:t>
      </w:r>
      <w:r>
        <w:rPr>
          <w:rFonts w:ascii="仿宋" w:eastAsia="仿宋" w:hAnsi="仿宋"/>
          <w:sz w:val="32"/>
          <w:szCs w:val="32"/>
        </w:rPr>
        <w:t>规划编制</w:t>
      </w:r>
      <w:r>
        <w:rPr>
          <w:rFonts w:ascii="仿宋" w:eastAsia="仿宋" w:hAnsi="仿宋" w:hint="eastAsia"/>
          <w:sz w:val="32"/>
          <w:szCs w:val="32"/>
        </w:rPr>
        <w:t>专班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各市社、省直管县社</w:t>
      </w:r>
      <w:r>
        <w:rPr>
          <w:rFonts w:ascii="仿宋" w:eastAsia="仿宋" w:hAnsi="仿宋"/>
          <w:sz w:val="32"/>
          <w:szCs w:val="32"/>
        </w:rPr>
        <w:t>也要成立相关的组织领导机构，</w:t>
      </w:r>
      <w:r>
        <w:rPr>
          <w:rFonts w:ascii="仿宋" w:eastAsia="仿宋" w:hAnsi="仿宋" w:cs="仿宋_GB2312" w:hint="eastAsia"/>
          <w:sz w:val="32"/>
          <w:szCs w:val="32"/>
        </w:rPr>
        <w:t>加强人员配备，明确责任分工，高质量完成编制工作。要及时向地方党委政府汇报规划进展情况，做好本地区规划与省社规划的衔接和细化工作，形成规划“一盘棋”，提升系统组织优势，增强联合发展能力。</w:t>
      </w:r>
      <w:r>
        <w:rPr>
          <w:rFonts w:ascii="仿宋" w:eastAsia="仿宋" w:hAnsi="仿宋" w:hint="eastAsia"/>
          <w:sz w:val="32"/>
          <w:szCs w:val="32"/>
        </w:rPr>
        <w:t>同时，各单位要</w:t>
      </w:r>
      <w:r>
        <w:rPr>
          <w:rFonts w:ascii="仿宋" w:eastAsia="仿宋" w:hAnsi="仿宋"/>
          <w:sz w:val="32"/>
          <w:szCs w:val="32"/>
        </w:rPr>
        <w:t>明确一名联络员做好与省社规划编制工作的对接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D4187" w:rsidRDefault="00AD4187" w:rsidP="0035189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</w:t>
      </w:r>
      <w:r>
        <w:rPr>
          <w:rFonts w:ascii="楷体" w:eastAsia="楷体" w:hAnsi="楷体"/>
          <w:b/>
          <w:sz w:val="32"/>
          <w:szCs w:val="32"/>
        </w:rPr>
        <w:t>二)</w:t>
      </w:r>
      <w:r>
        <w:rPr>
          <w:rFonts w:ascii="楷体" w:eastAsia="楷体" w:hAnsi="楷体" w:hint="eastAsia"/>
          <w:b/>
          <w:sz w:val="32"/>
          <w:szCs w:val="32"/>
        </w:rPr>
        <w:t>注重科学谋划</w:t>
      </w:r>
      <w:r>
        <w:rPr>
          <w:rFonts w:ascii="楷体" w:eastAsia="楷体" w:hAnsi="楷体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要加强战略研究，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扎实开展调查研究和论证分析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准确把握经济社会发展的时代特征和基本规律，推动“十四五”规划的战略性、前瞻性和可操作性的有机统一;要</w:t>
      </w:r>
      <w:r>
        <w:rPr>
          <w:rFonts w:ascii="仿宋" w:eastAsia="仿宋" w:hAnsi="仿宋"/>
          <w:sz w:val="32"/>
          <w:szCs w:val="32"/>
        </w:rPr>
        <w:t>善于</w:t>
      </w:r>
      <w:r>
        <w:rPr>
          <w:rFonts w:ascii="仿宋" w:eastAsia="仿宋" w:hAnsi="仿宋" w:hint="eastAsia"/>
          <w:sz w:val="32"/>
          <w:szCs w:val="32"/>
        </w:rPr>
        <w:t>谋划全局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深入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判国内外经济发展形势带来的机遇与挑战，</w:t>
      </w:r>
      <w:r>
        <w:rPr>
          <w:rFonts w:ascii="仿宋" w:eastAsia="仿宋" w:hAnsi="仿宋"/>
          <w:sz w:val="32"/>
          <w:szCs w:val="32"/>
        </w:rPr>
        <w:t>找准事关系统全局和长远发展的重大问题</w:t>
      </w:r>
      <w:r>
        <w:rPr>
          <w:rFonts w:ascii="仿宋" w:eastAsia="仿宋" w:hAnsi="仿宋" w:hint="eastAsia"/>
          <w:sz w:val="32"/>
          <w:szCs w:val="32"/>
        </w:rPr>
        <w:t>，提出推动高质量发展的总体思路;</w:t>
      </w:r>
      <w:r>
        <w:rPr>
          <w:rFonts w:ascii="仿宋" w:eastAsia="仿宋" w:hAnsi="仿宋"/>
          <w:sz w:val="32"/>
          <w:szCs w:val="32"/>
        </w:rPr>
        <w:t xml:space="preserve"> 要</w:t>
      </w:r>
      <w:r>
        <w:rPr>
          <w:rFonts w:ascii="仿宋" w:eastAsia="仿宋" w:hAnsi="仿宋" w:hint="eastAsia"/>
          <w:sz w:val="32"/>
          <w:szCs w:val="32"/>
        </w:rPr>
        <w:t>树立系统思维</w:t>
      </w:r>
      <w:r>
        <w:rPr>
          <w:rFonts w:ascii="仿宋" w:eastAsia="仿宋" w:hAnsi="仿宋"/>
          <w:sz w:val="32"/>
          <w:szCs w:val="32"/>
        </w:rPr>
        <w:t>，既要全面统筹系统改革发展的各个方面，又要适应所处发展阶段的特殊需要,突出重点领域和薄弱环节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突出规划实效，</w:t>
      </w:r>
      <w:r>
        <w:rPr>
          <w:rFonts w:ascii="仿宋" w:eastAsia="仿宋" w:hAnsi="仿宋"/>
          <w:sz w:val="32"/>
          <w:szCs w:val="32"/>
        </w:rPr>
        <w:t>既要增强规划的宏观性、战略性、指导性，又要突出规划的针对性和约束力，做到</w:t>
      </w:r>
      <w:r>
        <w:rPr>
          <w:rFonts w:ascii="仿宋" w:eastAsia="仿宋" w:hAnsi="仿宋" w:hint="eastAsia"/>
          <w:sz w:val="32"/>
          <w:szCs w:val="32"/>
        </w:rPr>
        <w:t>易</w:t>
      </w:r>
      <w:r>
        <w:rPr>
          <w:rFonts w:ascii="仿宋" w:eastAsia="仿宋" w:hAnsi="仿宋"/>
          <w:sz w:val="32"/>
          <w:szCs w:val="32"/>
        </w:rPr>
        <w:t>操作、可落实。</w:t>
      </w: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(三)</w:t>
      </w:r>
      <w:r>
        <w:rPr>
          <w:rFonts w:ascii="楷体" w:eastAsia="楷体" w:hAnsi="楷体" w:hint="eastAsia"/>
          <w:b/>
          <w:sz w:val="32"/>
          <w:szCs w:val="32"/>
        </w:rPr>
        <w:t>按时保质报送</w:t>
      </w:r>
      <w:r>
        <w:rPr>
          <w:rFonts w:ascii="楷体" w:eastAsia="楷体" w:hAnsi="楷体"/>
          <w:b/>
          <w:sz w:val="32"/>
          <w:szCs w:val="32"/>
        </w:rPr>
        <w:t>。</w:t>
      </w:r>
      <w:r>
        <w:rPr>
          <w:rFonts w:ascii="仿宋_GB2312" w:eastAsia="仿宋_GB2312" w:cs="宋体"/>
          <w:sz w:val="32"/>
          <w:szCs w:val="32"/>
        </w:rPr>
        <w:t>请各</w:t>
      </w:r>
      <w:r>
        <w:rPr>
          <w:rFonts w:ascii="仿宋_GB2312" w:eastAsia="仿宋_GB2312" w:cs="宋体" w:hint="eastAsia"/>
          <w:sz w:val="32"/>
          <w:szCs w:val="32"/>
        </w:rPr>
        <w:t>地各单位</w:t>
      </w:r>
      <w:r>
        <w:rPr>
          <w:rFonts w:ascii="仿宋_GB2312" w:eastAsia="仿宋_GB2312" w:cs="宋体"/>
          <w:sz w:val="32"/>
          <w:szCs w:val="32"/>
        </w:rPr>
        <w:t>抓紧启动规划编制工作，</w:t>
      </w:r>
      <w:r>
        <w:rPr>
          <w:rFonts w:ascii="仿宋_GB2312" w:eastAsia="仿宋_GB2312" w:cs="宋体" w:hint="eastAsia"/>
          <w:sz w:val="32"/>
          <w:szCs w:val="32"/>
        </w:rPr>
        <w:t>根据《规划》完成总体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安排抓好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落实，为统筹做好我省系统规划编制，各地需</w:t>
      </w:r>
      <w:r>
        <w:rPr>
          <w:rFonts w:ascii="仿宋" w:eastAsia="仿宋" w:hAnsi="仿宋"/>
          <w:sz w:val="32"/>
          <w:szCs w:val="32"/>
        </w:rPr>
        <w:t>于6月</w:t>
      </w:r>
      <w:r>
        <w:rPr>
          <w:rFonts w:ascii="仿宋" w:eastAsia="仿宋" w:hAnsi="仿宋" w:hint="eastAsia"/>
          <w:sz w:val="32"/>
          <w:szCs w:val="32"/>
        </w:rPr>
        <w:t>30日</w:t>
      </w:r>
      <w:r>
        <w:rPr>
          <w:rFonts w:ascii="仿宋" w:eastAsia="仿宋" w:hAnsi="仿宋"/>
          <w:sz w:val="32"/>
          <w:szCs w:val="32"/>
        </w:rPr>
        <w:t>前向省社上报规划编制</w:t>
      </w:r>
      <w:r>
        <w:rPr>
          <w:rFonts w:ascii="仿宋" w:eastAsia="仿宋" w:hAnsi="仿宋" w:hint="eastAsia"/>
          <w:sz w:val="32"/>
          <w:szCs w:val="32"/>
        </w:rPr>
        <w:t>初稿（大纲）</w:t>
      </w:r>
      <w:r>
        <w:rPr>
          <w:rFonts w:ascii="仿宋" w:eastAsia="仿宋" w:hAnsi="仿宋"/>
          <w:sz w:val="32"/>
          <w:szCs w:val="32"/>
        </w:rPr>
        <w:t>和“十四五”发展目标(见附件)</w:t>
      </w:r>
      <w:r w:rsidRPr="00A51AFA">
        <w:rPr>
          <w:rFonts w:ascii="仿宋_GB2312" w:eastAsia="仿宋_GB2312" w:cs="宋体" w:hint="eastAsia"/>
          <w:sz w:val="32"/>
          <w:szCs w:val="32"/>
        </w:rPr>
        <w:t>，以及希望列入</w:t>
      </w:r>
      <w:r>
        <w:rPr>
          <w:rFonts w:ascii="仿宋_GB2312" w:eastAsia="仿宋_GB2312" w:cs="宋体" w:hint="eastAsia"/>
          <w:sz w:val="32"/>
          <w:szCs w:val="32"/>
        </w:rPr>
        <w:t>全省供销合作</w:t>
      </w:r>
      <w:r>
        <w:rPr>
          <w:rFonts w:ascii="仿宋_GB2312" w:eastAsia="仿宋_GB2312" w:cs="宋体" w:hint="eastAsia"/>
          <w:sz w:val="32"/>
          <w:szCs w:val="32"/>
        </w:rPr>
        <w:lastRenderedPageBreak/>
        <w:t>社</w:t>
      </w:r>
      <w:r w:rsidRPr="00A51AFA">
        <w:rPr>
          <w:rFonts w:ascii="仿宋_GB2312" w:eastAsia="仿宋_GB2312" w:cs="宋体" w:hint="eastAsia"/>
          <w:sz w:val="32"/>
          <w:szCs w:val="32"/>
        </w:rPr>
        <w:t>“十四五”发展规划的重大项目、重要内容和</w:t>
      </w:r>
      <w:r>
        <w:rPr>
          <w:rFonts w:ascii="仿宋_GB2312" w:eastAsia="仿宋_GB2312" w:cs="宋体" w:hint="eastAsia"/>
          <w:sz w:val="32"/>
          <w:szCs w:val="32"/>
        </w:rPr>
        <w:t>相关</w:t>
      </w:r>
      <w:r w:rsidRPr="00A51AFA">
        <w:rPr>
          <w:rFonts w:ascii="仿宋_GB2312" w:eastAsia="仿宋_GB2312" w:cs="宋体" w:hint="eastAsia"/>
          <w:sz w:val="32"/>
          <w:szCs w:val="32"/>
        </w:rPr>
        <w:t>意见建议一并报送</w:t>
      </w:r>
      <w:r w:rsidRPr="00A51AFA">
        <w:rPr>
          <w:rFonts w:ascii="仿宋_GB2312" w:eastAsia="仿宋_GB2312" w:cs="宋体"/>
          <w:sz w:val="32"/>
          <w:szCs w:val="32"/>
        </w:rPr>
        <w:t>。</w:t>
      </w:r>
      <w:r>
        <w:rPr>
          <w:rFonts w:ascii="仿宋_GB2312" w:eastAsia="仿宋_GB2312" w:cs="宋体" w:hint="eastAsia"/>
          <w:sz w:val="32"/>
          <w:szCs w:val="32"/>
        </w:rPr>
        <w:t>省社将在上报材料的基础上，提炼总结、统筹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编制全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系统的“十四五”规划，于7月底前完成初稿并上报全国总社。</w:t>
      </w:r>
    </w:p>
    <w:p w:rsidR="00AD4187" w:rsidRDefault="00AD4187" w:rsidP="00351892">
      <w:pPr>
        <w:spacing w:line="56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联系人：蒋婷婷</w:t>
      </w:r>
    </w:p>
    <w:p w:rsidR="00AD4187" w:rsidRDefault="00AD4187" w:rsidP="00351892">
      <w:pPr>
        <w:spacing w:line="56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联系电话：0551-62636876，13705519921；</w:t>
      </w:r>
    </w:p>
    <w:p w:rsidR="00AD4187" w:rsidRDefault="00AD4187" w:rsidP="00351892">
      <w:pPr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电子邮箱：ahcoop0551</w:t>
      </w:r>
      <w:r>
        <w:rPr>
          <w:rFonts w:ascii="宋体" w:eastAsia="宋体" w:hAnsi="宋体" w:cs="宋体" w:hint="eastAsia"/>
          <w:kern w:val="0"/>
          <w:sz w:val="32"/>
          <w:szCs w:val="32"/>
        </w:rPr>
        <w:t>＠</w:t>
      </w:r>
      <w:r>
        <w:rPr>
          <w:rFonts w:ascii="仿宋_GB2312" w:eastAsia="仿宋_GB2312" w:cs="宋体" w:hint="eastAsia"/>
          <w:kern w:val="0"/>
          <w:sz w:val="32"/>
          <w:szCs w:val="32"/>
        </w:rPr>
        <w:t>163.com。</w:t>
      </w:r>
    </w:p>
    <w:p w:rsidR="00AD4187" w:rsidRDefault="00AD4187" w:rsidP="00351892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D4187" w:rsidRDefault="00AD4187" w:rsidP="00351892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附件:供销合作</w:t>
      </w:r>
      <w:r>
        <w:rPr>
          <w:rFonts w:ascii="仿宋" w:eastAsia="仿宋" w:hAnsi="仿宋" w:hint="eastAsia"/>
          <w:sz w:val="32"/>
          <w:szCs w:val="32"/>
        </w:rPr>
        <w:t>社</w:t>
      </w:r>
      <w:r>
        <w:rPr>
          <w:rFonts w:ascii="仿宋" w:eastAsia="仿宋" w:hAnsi="仿宋"/>
          <w:sz w:val="32"/>
          <w:szCs w:val="32"/>
        </w:rPr>
        <w:t>“十四五”发展</w:t>
      </w:r>
      <w:r>
        <w:rPr>
          <w:rFonts w:ascii="仿宋" w:eastAsia="仿宋" w:hAnsi="仿宋" w:hint="eastAsia"/>
          <w:sz w:val="32"/>
          <w:szCs w:val="32"/>
        </w:rPr>
        <w:t>规划</w:t>
      </w:r>
      <w:r>
        <w:rPr>
          <w:rFonts w:ascii="仿宋" w:eastAsia="仿宋" w:hAnsi="仿宋"/>
          <w:sz w:val="32"/>
          <w:szCs w:val="32"/>
        </w:rPr>
        <w:t>目标</w:t>
      </w:r>
      <w:r>
        <w:rPr>
          <w:rFonts w:ascii="仿宋" w:eastAsia="仿宋" w:hAnsi="仿宋" w:hint="eastAsia"/>
          <w:sz w:val="32"/>
          <w:szCs w:val="32"/>
        </w:rPr>
        <w:t>任务表</w:t>
      </w:r>
    </w:p>
    <w:p w:rsidR="00AD4187" w:rsidRDefault="00AD4187" w:rsidP="00351892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D4187" w:rsidRDefault="00AD4187" w:rsidP="00351892">
      <w:pPr>
        <w:pStyle w:val="a4"/>
        <w:widowControl/>
        <w:spacing w:line="560" w:lineRule="exact"/>
        <w:ind w:left="76" w:firstLine="640"/>
        <w:rPr>
          <w:rFonts w:ascii="仿宋_GB2312" w:eastAsia="仿宋_GB2312" w:cs="宋体"/>
          <w:sz w:val="32"/>
          <w:szCs w:val="32"/>
        </w:rPr>
      </w:pPr>
    </w:p>
    <w:p w:rsidR="00AD4187" w:rsidRDefault="00AD4187" w:rsidP="00351892">
      <w:pPr>
        <w:spacing w:line="56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 安徽省供销合作社联合社</w:t>
      </w:r>
    </w:p>
    <w:p w:rsidR="00AD4187" w:rsidRDefault="00AD4187" w:rsidP="00351892">
      <w:pPr>
        <w:spacing w:line="56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   </w:t>
      </w:r>
      <w:r w:rsidR="003B623A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2020年6月</w:t>
      </w:r>
      <w:r w:rsidR="003B623A">
        <w:rPr>
          <w:rFonts w:ascii="仿宋_GB2312" w:eastAsia="仿宋_GB2312" w:cs="宋体" w:hint="eastAsia"/>
          <w:kern w:val="0"/>
          <w:sz w:val="32"/>
          <w:szCs w:val="32"/>
        </w:rPr>
        <w:t>2</w:t>
      </w:r>
      <w:r>
        <w:rPr>
          <w:rFonts w:ascii="仿宋_GB2312" w:eastAsia="仿宋_GB2312" w:cs="宋体" w:hint="eastAsia"/>
          <w:kern w:val="0"/>
          <w:sz w:val="32"/>
          <w:szCs w:val="32"/>
        </w:rPr>
        <w:t>日</w:t>
      </w:r>
    </w:p>
    <w:p w:rsidR="00CC1B64" w:rsidRDefault="00CC1B64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351892" w:rsidRDefault="00351892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351892" w:rsidRDefault="00351892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AD4187" w:rsidRDefault="00AD4187" w:rsidP="00AD4187">
      <w:pPr>
        <w:adjustRightInd w:val="0"/>
        <w:spacing w:line="360" w:lineRule="auto"/>
        <w:rPr>
          <w:rFonts w:ascii="Calibri" w:eastAsia="方正仿宋简体" w:hAnsi="Calibri" w:cs="Times New Roman"/>
          <w:color w:val="000000"/>
          <w:sz w:val="32"/>
          <w:szCs w:val="32"/>
        </w:rPr>
      </w:pPr>
      <w:r>
        <w:rPr>
          <w:rFonts w:ascii="Calibri" w:eastAsia="方正仿宋简体" w:hAnsi="Calibri" w:cs="Times New Roman" w:hint="eastAsia"/>
          <w:sz w:val="32"/>
          <w:szCs w:val="32"/>
        </w:rPr>
        <w:lastRenderedPageBreak/>
        <w:t>附</w:t>
      </w:r>
      <w:r>
        <w:rPr>
          <w:rFonts w:ascii="Times New Roman" w:eastAsia="方正仿宋简体" w:hAnsi="Times New Roman" w:cs="Times New Roman"/>
          <w:sz w:val="32"/>
          <w:szCs w:val="32"/>
        </w:rPr>
        <w:t>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AD4187" w:rsidRDefault="00AD4187" w:rsidP="00AD4187">
      <w:pPr>
        <w:adjustRightInd w:val="0"/>
        <w:jc w:val="center"/>
        <w:rPr>
          <w:rFonts w:ascii="方正小标宋简体" w:eastAsia="方正小标宋简体" w:hAnsi="宋体" w:cs="Times New Roman"/>
          <w:spacing w:val="-8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pacing w:val="-8"/>
          <w:sz w:val="36"/>
          <w:szCs w:val="36"/>
        </w:rPr>
        <w:t>供销合作社</w:t>
      </w:r>
      <w:r>
        <w:rPr>
          <w:rFonts w:ascii="方正小标宋简体" w:eastAsia="方正小标宋简体" w:hAnsi="宋体" w:hint="eastAsia"/>
          <w:spacing w:val="-8"/>
          <w:sz w:val="36"/>
          <w:szCs w:val="36"/>
        </w:rPr>
        <w:t>“十四五”发展规划</w:t>
      </w:r>
      <w:r>
        <w:rPr>
          <w:rFonts w:ascii="方正小标宋简体" w:eastAsia="方正小标宋简体" w:hAnsi="宋体" w:cs="Times New Roman" w:hint="eastAsia"/>
          <w:spacing w:val="-8"/>
          <w:sz w:val="36"/>
          <w:szCs w:val="36"/>
        </w:rPr>
        <w:t>目标任务表</w:t>
      </w:r>
    </w:p>
    <w:p w:rsidR="00AD4187" w:rsidRDefault="00AD4187" w:rsidP="00AD4187">
      <w:pPr>
        <w:adjustRightInd w:val="0"/>
        <w:spacing w:line="360" w:lineRule="auto"/>
        <w:rPr>
          <w:rFonts w:ascii="楷体" w:eastAsia="楷体" w:hAnsi="楷体" w:cs="Times New Roman"/>
          <w:b/>
          <w:spacing w:val="-8"/>
          <w:sz w:val="28"/>
          <w:szCs w:val="28"/>
        </w:rPr>
      </w:pPr>
      <w:r>
        <w:rPr>
          <w:rFonts w:ascii="楷体" w:eastAsia="楷体" w:hAnsi="楷体" w:cs="Times New Roman" w:hint="eastAsia"/>
          <w:b/>
          <w:spacing w:val="-8"/>
          <w:sz w:val="28"/>
          <w:szCs w:val="28"/>
        </w:rPr>
        <w:t>填表单位（盖章）：</w:t>
      </w:r>
    </w:p>
    <w:tbl>
      <w:tblPr>
        <w:tblW w:w="9465" w:type="dxa"/>
        <w:jc w:val="center"/>
        <w:tblLayout w:type="fixed"/>
        <w:tblLook w:val="04A0"/>
      </w:tblPr>
      <w:tblGrid>
        <w:gridCol w:w="696"/>
        <w:gridCol w:w="3795"/>
        <w:gridCol w:w="1674"/>
        <w:gridCol w:w="1956"/>
        <w:gridCol w:w="1344"/>
      </w:tblGrid>
      <w:tr w:rsidR="00AD4187" w:rsidTr="00857B9C">
        <w:trPr>
          <w:cantSplit/>
          <w:trHeight w:val="227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类别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指   标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发展情况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目标任务</w:t>
            </w:r>
          </w:p>
        </w:tc>
      </w:tr>
      <w:tr w:rsidR="00AD4187" w:rsidTr="00857B9C">
        <w:trPr>
          <w:cantSplit/>
          <w:trHeight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2019年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2020年（预计）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2025年</w:t>
            </w: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spacing w:val="6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pacing w:val="60"/>
                <w:kern w:val="0"/>
                <w:sz w:val="24"/>
              </w:rPr>
              <w:t>规模指标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销售总额（亿元）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农资销售额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农产品销售额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消费品零售额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再生资源销售额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电子商务销售额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农资电子商务销售额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农产品电子商务销售额</w:t>
            </w:r>
            <w:r>
              <w:rPr>
                <w:rFonts w:ascii="黑体" w:eastAsia="黑体" w:hAnsi="黑体" w:cs="Times New Roman" w:hint="eastAsia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消费品电子商务零售额</w:t>
            </w:r>
            <w:r>
              <w:rPr>
                <w:rFonts w:ascii="黑体" w:eastAsia="黑体" w:hAnsi="黑体" w:cs="Times New Roman" w:hint="eastAsia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营业收入100亿元以上</w:t>
            </w:r>
          </w:p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龙头企业数量（</w:t>
            </w:r>
            <w:proofErr w:type="gramStart"/>
            <w:r>
              <w:rPr>
                <w:rFonts w:ascii="黑体" w:eastAsia="黑体" w:hAnsi="黑体" w:cs="Times New Roman"/>
                <w:sz w:val="24"/>
              </w:rPr>
              <w:t>个</w:t>
            </w:r>
            <w:proofErr w:type="gramEnd"/>
            <w:r>
              <w:rPr>
                <w:rFonts w:ascii="黑体" w:eastAsia="黑体" w:hAnsi="黑体" w:cs="Times New Roman"/>
                <w:sz w:val="24"/>
              </w:rPr>
              <w:t>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pacing w:val="60"/>
                <w:kern w:val="0"/>
                <w:sz w:val="24"/>
              </w:rPr>
              <w:t>效益指标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企业汇总利润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全资控股企业汇总利润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县及县以下企业汇总利润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土地全托管面积（亩）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510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农业社会化服务（亩次）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D4187" w:rsidTr="00AD4187">
        <w:trPr>
          <w:cantSplit/>
          <w:trHeight w:val="17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D4187" w:rsidRDefault="00AD4187" w:rsidP="00AD418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bCs/>
                <w:color w:val="000000"/>
                <w:spacing w:val="6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pacing w:val="60"/>
                <w:kern w:val="0"/>
                <w:sz w:val="24"/>
              </w:rPr>
              <w:t>风险指标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企业资产负债率（%）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87" w:rsidRDefault="00AD4187" w:rsidP="00857B9C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AD4187" w:rsidRDefault="00AD4187" w:rsidP="00AD4187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D4187" w:rsidRDefault="00AD4187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C1B64" w:rsidRDefault="00CC1B64">
      <w:pPr>
        <w:rPr>
          <w:rFonts w:ascii="宋体" w:eastAsia="宋体" w:hAnsi="宋体"/>
          <w:sz w:val="28"/>
          <w:szCs w:val="28"/>
        </w:rPr>
      </w:pPr>
    </w:p>
    <w:p w:rsidR="00CC1B64" w:rsidRDefault="00345E3B">
      <w:pPr>
        <w:pBdr>
          <w:top w:val="single" w:sz="6" w:space="1" w:color="auto"/>
          <w:bottom w:val="single" w:sz="6" w:space="1" w:color="auto"/>
        </w:pBdr>
        <w:tabs>
          <w:tab w:val="left" w:pos="8400"/>
        </w:tabs>
        <w:rPr>
          <w:color w:val="000000" w:themeColor="text1"/>
        </w:rPr>
      </w:pPr>
      <w:r>
        <w:rPr>
          <w:rFonts w:ascii="仿宋_GB2312" w:eastAsia="仿宋_GB2312" w:hint="eastAsia"/>
          <w:sz w:val="28"/>
          <w:szCs w:val="28"/>
        </w:rPr>
        <w:t xml:space="preserve">　安徽省供销合作社联合社办公室</w:t>
      </w:r>
      <w:proofErr w:type="gramStart"/>
      <w:r>
        <w:rPr>
          <w:rFonts w:ascii="仿宋_GB2312" w:eastAsia="仿宋_GB2312" w:hint="eastAsia"/>
          <w:color w:val="FFFFFF"/>
          <w:sz w:val="28"/>
          <w:szCs w:val="28"/>
        </w:rPr>
        <w:t xml:space="preserve">　　　　　</w:t>
      </w:r>
      <w:proofErr w:type="gramEnd"/>
      <w:r>
        <w:rPr>
          <w:rFonts w:ascii="仿宋_GB2312" w:eastAsia="仿宋_GB2312" w:hint="eastAsia"/>
          <w:color w:val="FFFFFF"/>
          <w:sz w:val="28"/>
          <w:szCs w:val="28"/>
        </w:rPr>
        <w:t xml:space="preserve"> ,</w:t>
      </w:r>
      <w:r>
        <w:rPr>
          <w:rFonts w:ascii="仿宋_GB2312" w:eastAsia="仿宋_GB2312" w:hint="eastAsia"/>
          <w:sz w:val="28"/>
          <w:szCs w:val="28"/>
        </w:rPr>
        <w:t>20</w:t>
      </w:r>
      <w:r w:rsidR="00AD4187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AD4187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 w:rsidR="00AD4187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CC1B64" w:rsidSect="00AD4187">
      <w:pgSz w:w="11906" w:h="16838"/>
      <w:pgMar w:top="1985" w:right="1588" w:bottom="1701" w:left="1588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3B" w:rsidRDefault="00345E3B" w:rsidP="00AD4187">
      <w:r>
        <w:separator/>
      </w:r>
    </w:p>
  </w:endnote>
  <w:endnote w:type="continuationSeparator" w:id="0">
    <w:p w:rsidR="00345E3B" w:rsidRDefault="00345E3B" w:rsidP="00AD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3B" w:rsidRDefault="00345E3B" w:rsidP="00AD4187">
      <w:r>
        <w:separator/>
      </w:r>
    </w:p>
  </w:footnote>
  <w:footnote w:type="continuationSeparator" w:id="0">
    <w:p w:rsidR="00345E3B" w:rsidRDefault="00345E3B" w:rsidP="00AD4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FBE"/>
    <w:multiLevelType w:val="multilevel"/>
    <w:tmpl w:val="292C2FBE"/>
    <w:lvl w:ilvl="0">
      <w:start w:val="1"/>
      <w:numFmt w:val="japaneseCounting"/>
      <w:lvlText w:val="%1、"/>
      <w:lvlJc w:val="left"/>
      <w:pPr>
        <w:ind w:left="1436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56" w:hanging="420"/>
      </w:pPr>
    </w:lvl>
    <w:lvl w:ilvl="2" w:tentative="1">
      <w:start w:val="1"/>
      <w:numFmt w:val="lowerRoman"/>
      <w:lvlText w:val="%3."/>
      <w:lvlJc w:val="right"/>
      <w:pPr>
        <w:ind w:left="1976" w:hanging="420"/>
      </w:pPr>
    </w:lvl>
    <w:lvl w:ilvl="3" w:tentative="1">
      <w:start w:val="1"/>
      <w:numFmt w:val="decimal"/>
      <w:lvlText w:val="%4."/>
      <w:lvlJc w:val="left"/>
      <w:pPr>
        <w:ind w:left="2396" w:hanging="420"/>
      </w:pPr>
    </w:lvl>
    <w:lvl w:ilvl="4" w:tentative="1">
      <w:start w:val="1"/>
      <w:numFmt w:val="lowerLetter"/>
      <w:lvlText w:val="%5)"/>
      <w:lvlJc w:val="left"/>
      <w:pPr>
        <w:ind w:left="2816" w:hanging="420"/>
      </w:pPr>
    </w:lvl>
    <w:lvl w:ilvl="5" w:tentative="1">
      <w:start w:val="1"/>
      <w:numFmt w:val="lowerRoman"/>
      <w:lvlText w:val="%6."/>
      <w:lvlJc w:val="right"/>
      <w:pPr>
        <w:ind w:left="3236" w:hanging="420"/>
      </w:pPr>
    </w:lvl>
    <w:lvl w:ilvl="6" w:tentative="1">
      <w:start w:val="1"/>
      <w:numFmt w:val="decimal"/>
      <w:lvlText w:val="%7."/>
      <w:lvlJc w:val="left"/>
      <w:pPr>
        <w:ind w:left="3656" w:hanging="420"/>
      </w:pPr>
    </w:lvl>
    <w:lvl w:ilvl="7" w:tentative="1">
      <w:start w:val="1"/>
      <w:numFmt w:val="lowerLetter"/>
      <w:lvlText w:val="%8)"/>
      <w:lvlJc w:val="left"/>
      <w:pPr>
        <w:ind w:left="4076" w:hanging="420"/>
      </w:pPr>
    </w:lvl>
    <w:lvl w:ilvl="8" w:tentative="1">
      <w:start w:val="1"/>
      <w:numFmt w:val="lowerRoman"/>
      <w:lvlText w:val="%9."/>
      <w:lvlJc w:val="right"/>
      <w:pPr>
        <w:ind w:left="449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3A7079A"/>
    <w:rsid w:val="00345E3B"/>
    <w:rsid w:val="00351892"/>
    <w:rsid w:val="003B623A"/>
    <w:rsid w:val="00886611"/>
    <w:rsid w:val="00AB63E9"/>
    <w:rsid w:val="00AD4187"/>
    <w:rsid w:val="00CA1E05"/>
    <w:rsid w:val="00CC1B64"/>
    <w:rsid w:val="00EA4D8E"/>
    <w:rsid w:val="07C766CF"/>
    <w:rsid w:val="086C26E0"/>
    <w:rsid w:val="0D9A0D27"/>
    <w:rsid w:val="2781405D"/>
    <w:rsid w:val="2A2D713F"/>
    <w:rsid w:val="2AA45E84"/>
    <w:rsid w:val="369C61D2"/>
    <w:rsid w:val="43A7079A"/>
    <w:rsid w:val="4E761BB1"/>
    <w:rsid w:val="552B1DC7"/>
    <w:rsid w:val="62123858"/>
    <w:rsid w:val="66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C1B64"/>
    <w:pPr>
      <w:jc w:val="left"/>
    </w:pPr>
    <w:rPr>
      <w:rFonts w:cs="Times New Roman"/>
      <w:kern w:val="0"/>
      <w:sz w:val="24"/>
    </w:rPr>
  </w:style>
  <w:style w:type="paragraph" w:customStyle="1" w:styleId="Char">
    <w:name w:val="Char"/>
    <w:basedOn w:val="a"/>
    <w:rsid w:val="00CC1B64"/>
    <w:pPr>
      <w:widowControl/>
      <w:spacing w:after="160" w:line="240" w:lineRule="exact"/>
      <w:jc w:val="left"/>
    </w:pPr>
  </w:style>
  <w:style w:type="character" w:styleId="a5">
    <w:name w:val="page number"/>
    <w:basedOn w:val="a0"/>
    <w:rsid w:val="00CC1B64"/>
  </w:style>
  <w:style w:type="character" w:styleId="a6">
    <w:name w:val="FollowedHyperlink"/>
    <w:basedOn w:val="a0"/>
    <w:qFormat/>
    <w:rsid w:val="00CC1B64"/>
    <w:rPr>
      <w:color w:val="333333"/>
      <w:u w:val="none"/>
    </w:rPr>
  </w:style>
  <w:style w:type="character" w:styleId="a7">
    <w:name w:val="Hyperlink"/>
    <w:basedOn w:val="a0"/>
    <w:qFormat/>
    <w:rsid w:val="00CC1B64"/>
    <w:rPr>
      <w:color w:val="333333"/>
      <w:u w:val="none"/>
    </w:rPr>
  </w:style>
  <w:style w:type="character" w:customStyle="1" w:styleId="span1">
    <w:name w:val="span1"/>
    <w:basedOn w:val="a0"/>
    <w:qFormat/>
    <w:rsid w:val="00CC1B64"/>
  </w:style>
  <w:style w:type="character" w:customStyle="1" w:styleId="span11">
    <w:name w:val="span11"/>
    <w:basedOn w:val="a0"/>
    <w:qFormat/>
    <w:rsid w:val="00CC1B64"/>
  </w:style>
  <w:style w:type="character" w:customStyle="1" w:styleId="span2">
    <w:name w:val="span2"/>
    <w:basedOn w:val="a0"/>
    <w:qFormat/>
    <w:rsid w:val="00CC1B64"/>
  </w:style>
  <w:style w:type="character" w:customStyle="1" w:styleId="span21">
    <w:name w:val="span21"/>
    <w:basedOn w:val="a0"/>
    <w:qFormat/>
    <w:rsid w:val="00CC1B64"/>
  </w:style>
  <w:style w:type="character" w:customStyle="1" w:styleId="span3">
    <w:name w:val="span3"/>
    <w:basedOn w:val="a0"/>
    <w:qFormat/>
    <w:rsid w:val="00CC1B64"/>
  </w:style>
  <w:style w:type="paragraph" w:styleId="a8">
    <w:name w:val="header"/>
    <w:basedOn w:val="a"/>
    <w:link w:val="Char0"/>
    <w:rsid w:val="00AD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AD41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329</Words>
  <Characters>1880</Characters>
  <Application>Microsoft Office Word</Application>
  <DocSecurity>0</DocSecurity>
  <Lines>15</Lines>
  <Paragraphs>4</Paragraphs>
  <ScaleCrop>false</ScaleCrop>
  <Company>ahcoop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蒋婷婷</cp:lastModifiedBy>
  <cp:revision>6</cp:revision>
  <cp:lastPrinted>2020-06-02T07:02:00Z</cp:lastPrinted>
  <dcterms:created xsi:type="dcterms:W3CDTF">2020-06-02T06:52:00Z</dcterms:created>
  <dcterms:modified xsi:type="dcterms:W3CDTF">2020-06-02T07:08:00Z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